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2CFFE312"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5B0F9F">
        <w:rPr>
          <w:rFonts w:cs="Courier New"/>
          <w:sz w:val="24"/>
          <w:szCs w:val="24"/>
          <w:lang w:val="de-DE"/>
        </w:rPr>
        <w:t>4</w:t>
      </w:r>
      <w:r w:rsidRPr="00DB3907">
        <w:rPr>
          <w:rFonts w:cs="Courier New"/>
          <w:sz w:val="24"/>
          <w:szCs w:val="24"/>
          <w:lang w:val="de-DE"/>
        </w:rPr>
        <w:tab/>
        <w:t>R4-</w:t>
      </w:r>
      <w:r w:rsidR="00C81780" w:rsidRPr="00C81780">
        <w:rPr>
          <w:rFonts w:cs="Courier New"/>
          <w:sz w:val="24"/>
          <w:szCs w:val="24"/>
          <w:lang w:val="de-DE"/>
        </w:rPr>
        <w:t>1713642</w:t>
      </w:r>
    </w:p>
    <w:p w14:paraId="3486D36A" w14:textId="2E97BDE3" w:rsidR="008209AC" w:rsidRPr="00DB3907" w:rsidRDefault="00D75565" w:rsidP="008209AC">
      <w:pPr>
        <w:pStyle w:val="Header"/>
        <w:tabs>
          <w:tab w:val="left" w:pos="6521"/>
        </w:tabs>
        <w:jc w:val="both"/>
        <w:rPr>
          <w:rFonts w:cs="Courier New"/>
          <w:sz w:val="24"/>
          <w:szCs w:val="24"/>
        </w:rPr>
      </w:pPr>
      <w:r>
        <w:rPr>
          <w:rFonts w:cs="Courier New"/>
          <w:sz w:val="24"/>
          <w:szCs w:val="24"/>
        </w:rPr>
        <w:t>November</w:t>
      </w:r>
      <w:r w:rsidR="008209AC">
        <w:rPr>
          <w:rFonts w:cs="Courier New"/>
          <w:sz w:val="24"/>
          <w:szCs w:val="24"/>
        </w:rPr>
        <w:t xml:space="preserve"> </w:t>
      </w:r>
      <w:r w:rsidR="005B0F9F">
        <w:rPr>
          <w:rFonts w:cs="Courier New"/>
          <w:sz w:val="24"/>
          <w:szCs w:val="24"/>
        </w:rPr>
        <w:t>2</w:t>
      </w:r>
      <w:r>
        <w:rPr>
          <w:rFonts w:cs="Courier New"/>
          <w:sz w:val="24"/>
          <w:szCs w:val="24"/>
        </w:rPr>
        <w:t>7</w:t>
      </w:r>
      <w:r w:rsidR="005B0F9F">
        <w:rPr>
          <w:rFonts w:cs="Courier New"/>
          <w:sz w:val="24"/>
          <w:szCs w:val="24"/>
          <w:vertAlign w:val="superscript"/>
        </w:rPr>
        <w:t>st</w:t>
      </w:r>
      <w:r w:rsidR="008209AC">
        <w:rPr>
          <w:rFonts w:cs="Courier New"/>
          <w:sz w:val="24"/>
          <w:szCs w:val="24"/>
          <w:vertAlign w:val="superscript"/>
        </w:rPr>
        <w:t xml:space="preserve"> </w:t>
      </w:r>
      <w:r w:rsidR="008209AC" w:rsidRPr="00DB3907">
        <w:rPr>
          <w:rFonts w:cs="Courier New"/>
          <w:sz w:val="24"/>
          <w:szCs w:val="24"/>
        </w:rPr>
        <w:t xml:space="preserve">– </w:t>
      </w:r>
      <w:r>
        <w:rPr>
          <w:rFonts w:cs="Courier New"/>
          <w:sz w:val="24"/>
          <w:szCs w:val="24"/>
        </w:rPr>
        <w:t>December 1</w:t>
      </w:r>
      <w:r>
        <w:rPr>
          <w:rFonts w:cs="Courier New"/>
          <w:sz w:val="24"/>
          <w:szCs w:val="24"/>
          <w:vertAlign w:val="superscript"/>
        </w:rPr>
        <w:t>st</w:t>
      </w:r>
      <w:r w:rsidR="008209AC">
        <w:rPr>
          <w:rFonts w:cs="Courier New"/>
          <w:sz w:val="24"/>
          <w:szCs w:val="24"/>
        </w:rPr>
        <w:t>, 201</w:t>
      </w:r>
      <w:r w:rsidR="000D7293">
        <w:rPr>
          <w:rFonts w:cs="Courier New"/>
          <w:sz w:val="24"/>
          <w:szCs w:val="24"/>
        </w:rPr>
        <w:t>7</w:t>
      </w:r>
    </w:p>
    <w:p w14:paraId="33695051" w14:textId="0807FE29" w:rsidR="008209AC" w:rsidRPr="00DB3907" w:rsidRDefault="00D75565" w:rsidP="008209AC">
      <w:pPr>
        <w:pStyle w:val="Header"/>
        <w:jc w:val="both"/>
        <w:rPr>
          <w:rFonts w:cs="Courier New"/>
          <w:sz w:val="24"/>
          <w:szCs w:val="24"/>
        </w:rPr>
      </w:pPr>
      <w:r>
        <w:rPr>
          <w:rFonts w:cs="Courier New"/>
          <w:sz w:val="24"/>
          <w:szCs w:val="24"/>
        </w:rPr>
        <w:t>Reno</w:t>
      </w:r>
      <w:r w:rsidR="00575814" w:rsidRPr="00575814">
        <w:rPr>
          <w:rFonts w:cs="Courier New"/>
          <w:sz w:val="24"/>
          <w:szCs w:val="24"/>
        </w:rPr>
        <w:t xml:space="preserve">, </w:t>
      </w:r>
      <w:r>
        <w:rPr>
          <w:rFonts w:cs="Courier New"/>
          <w:sz w:val="24"/>
          <w:szCs w:val="24"/>
        </w:rPr>
        <w:t>Neveda, USA</w:t>
      </w:r>
      <w:r w:rsidR="008209AC">
        <w:rPr>
          <w:rFonts w:cs="Courier New"/>
          <w:sz w:val="24"/>
          <w:szCs w:val="24"/>
        </w:rPr>
        <w:t xml:space="preserve"> </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19AF2BB"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75565">
        <w:rPr>
          <w:rFonts w:ascii="Arial" w:hAnsi="Arial"/>
          <w:sz w:val="24"/>
          <w:lang w:val="en-US"/>
        </w:rPr>
        <w:t>9.4.</w:t>
      </w:r>
      <w:r w:rsidR="00545241">
        <w:rPr>
          <w:rFonts w:ascii="Arial" w:hAnsi="Arial"/>
          <w:sz w:val="24"/>
          <w:lang w:val="en-US"/>
        </w:rPr>
        <w:t>3</w:t>
      </w:r>
      <w:r w:rsidR="00D75565">
        <w:rPr>
          <w:rFonts w:ascii="Arial" w:hAnsi="Arial"/>
          <w:sz w:val="24"/>
          <w:lang w:val="en-US"/>
        </w:rPr>
        <w:t>.</w:t>
      </w:r>
      <w:r w:rsidR="00545241">
        <w:rPr>
          <w:rFonts w:ascii="Arial" w:hAnsi="Arial"/>
          <w:sz w:val="24"/>
          <w:lang w:val="en-US"/>
        </w:rPr>
        <w:t>8</w:t>
      </w:r>
      <w:r w:rsidR="00D75565">
        <w:rPr>
          <w:rFonts w:ascii="Arial" w:hAnsi="Arial"/>
          <w:sz w:val="24"/>
          <w:lang w:val="en-US"/>
        </w:rPr>
        <w:t>.2</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13F93B3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5053A">
        <w:rPr>
          <w:rFonts w:ascii="Arial" w:hAnsi="Arial"/>
          <w:sz w:val="24"/>
          <w:lang w:val="en-US"/>
        </w:rPr>
        <w:t>On the a</w:t>
      </w:r>
      <w:r w:rsidR="00545241">
        <w:rPr>
          <w:rFonts w:ascii="Arial" w:hAnsi="Arial"/>
          <w:sz w:val="24"/>
          <w:lang w:val="en-US"/>
        </w:rPr>
        <w:t xml:space="preserve">dditional spurious </w:t>
      </w:r>
      <w:r w:rsidR="00D15952">
        <w:rPr>
          <w:rFonts w:ascii="Arial" w:hAnsi="Arial"/>
          <w:sz w:val="24"/>
          <w:lang w:val="en-US"/>
        </w:rPr>
        <w:t>emission limit</w:t>
      </w:r>
      <w:r w:rsidR="00545241">
        <w:rPr>
          <w:rFonts w:ascii="Arial" w:hAnsi="Arial"/>
          <w:sz w:val="24"/>
          <w:lang w:val="en-US"/>
        </w:rPr>
        <w:t xml:space="preserve"> to protect passive services</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3C503B00" w14:textId="2073C8EF" w:rsidR="00D85C68" w:rsidRPr="00A23B5A" w:rsidRDefault="00545241" w:rsidP="00D85C68">
      <w:pPr>
        <w:jc w:val="both"/>
        <w:rPr>
          <w:b/>
        </w:rPr>
      </w:pPr>
      <w:r>
        <w:t xml:space="preserve">In this contribution we focus on the additional spurious emission requirements needed to protect passive services operating in </w:t>
      </w:r>
      <w:proofErr w:type="spellStart"/>
      <w:r>
        <w:t>millimiter</w:t>
      </w:r>
      <w:proofErr w:type="spellEnd"/>
      <w:r>
        <w:t xml:space="preserve"> (mmW) frequency ranges. We provide an analysis following the guideline agreed in </w:t>
      </w:r>
      <w:r>
        <w:fldChar w:fldCharType="begin"/>
      </w:r>
      <w:r>
        <w:instrText xml:space="preserve"> REF _Ref498001918 \r \h </w:instrText>
      </w:r>
      <w:r>
        <w:fldChar w:fldCharType="separate"/>
      </w:r>
      <w:r w:rsidR="00A7731F">
        <w:t>[1]</w:t>
      </w:r>
      <w:r>
        <w:fldChar w:fldCharType="end"/>
      </w:r>
      <w:r>
        <w:t xml:space="preserve"> with the aim to estimate the amount of power reduction needed to meet -7dBm/200MHz emission level over the passive bands.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49D90C71" w14:textId="6033315D" w:rsidR="00545241" w:rsidRDefault="00545241" w:rsidP="00545241">
      <w:pPr>
        <w:jc w:val="both"/>
        <w:rPr>
          <w:lang w:val="en-US"/>
        </w:rPr>
      </w:pPr>
      <w:r>
        <w:rPr>
          <w:lang w:val="en-US"/>
        </w:rPr>
        <w:t xml:space="preserve">The need to have an additional spurious emission requirement to protect specific services comes from ITU-R sharing study on mmW bands for IMT-2020. ITU-R Working Party 5D sent to RAN4 on an “LS on IMT-2020 unwanted emission” </w:t>
      </w:r>
      <w:r>
        <w:rPr>
          <w:lang w:val="en-US"/>
        </w:rPr>
        <w:fldChar w:fldCharType="begin"/>
      </w:r>
      <w:r>
        <w:rPr>
          <w:lang w:val="en-US"/>
        </w:rPr>
        <w:instrText xml:space="preserve"> REF _Ref498435235 \r \h </w:instrText>
      </w:r>
      <w:r>
        <w:rPr>
          <w:lang w:val="en-US"/>
        </w:rPr>
      </w:r>
      <w:r>
        <w:rPr>
          <w:lang w:val="en-US"/>
        </w:rPr>
        <w:fldChar w:fldCharType="separate"/>
      </w:r>
      <w:r w:rsidR="00A7731F">
        <w:rPr>
          <w:lang w:val="en-US"/>
        </w:rPr>
        <w:t>[2]</w:t>
      </w:r>
      <w:r>
        <w:rPr>
          <w:lang w:val="en-US"/>
        </w:rPr>
        <w:fldChar w:fldCharType="end"/>
      </w:r>
      <w:r>
        <w:rPr>
          <w:lang w:val="en-US"/>
        </w:rPr>
        <w:t>. With particular emphasis on passive services (operating for instance in the band 23.6-24.0 GH), ITU-R asked the feasibility of more string limit compared to the categories defined in recommendation ITU-R SM.329</w:t>
      </w:r>
      <w:r w:rsidR="002E6767">
        <w:rPr>
          <w:lang w:val="en-US"/>
        </w:rPr>
        <w:t>. In particular</w:t>
      </w:r>
    </w:p>
    <w:p w14:paraId="26BF209F" w14:textId="77777777" w:rsidR="00545241" w:rsidRDefault="00545241" w:rsidP="00545241">
      <w:pPr>
        <w:pStyle w:val="ListParagraph"/>
        <w:numPr>
          <w:ilvl w:val="0"/>
          <w:numId w:val="39"/>
        </w:numPr>
        <w:jc w:val="both"/>
        <w:rPr>
          <w:lang w:val="en-US"/>
        </w:rPr>
      </w:pPr>
      <w:r>
        <w:rPr>
          <w:lang w:val="en-US"/>
        </w:rPr>
        <w:t>F</w:t>
      </w:r>
      <w:r w:rsidRPr="00C36BC7">
        <w:rPr>
          <w:lang w:val="en-US"/>
        </w:rPr>
        <w:t>easibility of -30 dBm/MHz for both UE and BS, and if not feasible, achievable value is requested</w:t>
      </w:r>
      <w:r>
        <w:rPr>
          <w:lang w:val="en-US"/>
        </w:rPr>
        <w:t>.</w:t>
      </w:r>
    </w:p>
    <w:p w14:paraId="0D5337E0" w14:textId="77777777" w:rsidR="00545241" w:rsidRPr="008E4B6E" w:rsidRDefault="00545241" w:rsidP="002E6767">
      <w:pPr>
        <w:pStyle w:val="ListParagraph"/>
        <w:numPr>
          <w:ilvl w:val="0"/>
          <w:numId w:val="39"/>
        </w:numPr>
        <w:jc w:val="both"/>
        <w:rPr>
          <w:lang w:val="en-US"/>
        </w:rPr>
      </w:pPr>
      <w:r w:rsidRPr="008E4B6E">
        <w:rPr>
          <w:lang w:val="en-US"/>
        </w:rPr>
        <w:t>Additional spurious emission requirements:</w:t>
      </w:r>
      <w:r>
        <w:rPr>
          <w:lang w:val="en-US"/>
        </w:rPr>
        <w:t xml:space="preserve"> </w:t>
      </w:r>
      <w:r w:rsidRPr="008E4B6E">
        <w:rPr>
          <w:lang w:val="en-US"/>
        </w:rPr>
        <w:t>ITU-R requests information regarding feasibility of more stringent limits to protect specific sensitive services</w:t>
      </w:r>
      <w:r>
        <w:rPr>
          <w:lang w:val="en-US"/>
        </w:rPr>
        <w:t>.</w:t>
      </w:r>
    </w:p>
    <w:p w14:paraId="4C93441F" w14:textId="77777777" w:rsidR="00545241" w:rsidRPr="00C36BC7" w:rsidRDefault="00545241" w:rsidP="002E6767">
      <w:pPr>
        <w:jc w:val="both"/>
        <w:rPr>
          <w:lang w:val="en-US"/>
        </w:rPr>
      </w:pPr>
      <w:r>
        <w:rPr>
          <w:lang w:val="en-US"/>
        </w:rPr>
        <w:t>Regarding the protection of passive services (e.g. EESS passive), o</w:t>
      </w:r>
      <w:r w:rsidRPr="00C36BC7">
        <w:rPr>
          <w:lang w:val="en-US"/>
        </w:rPr>
        <w:t xml:space="preserve">ne of </w:t>
      </w:r>
      <w:r>
        <w:rPr>
          <w:lang w:val="en-US"/>
        </w:rPr>
        <w:t>ITU-R</w:t>
      </w:r>
      <w:r w:rsidRPr="00C36BC7">
        <w:rPr>
          <w:lang w:val="en-US"/>
        </w:rPr>
        <w:t xml:space="preserve"> proposals is to increase reference bandwidth</w:t>
      </w:r>
      <w:r>
        <w:rPr>
          <w:lang w:val="en-US"/>
        </w:rPr>
        <w:t>. An example is given by the following list which shows band of operation of passive services and corresponding reference bandwidth to be studies:</w:t>
      </w:r>
      <w:r w:rsidRPr="00C36BC7">
        <w:rPr>
          <w:lang w:val="en-US"/>
        </w:rPr>
        <w:t xml:space="preserve"> </w:t>
      </w:r>
    </w:p>
    <w:p w14:paraId="48A9387F" w14:textId="77777777" w:rsidR="00545241" w:rsidRPr="00C36BC7" w:rsidRDefault="00545241" w:rsidP="002E6767">
      <w:pPr>
        <w:ind w:left="3408"/>
        <w:jc w:val="both"/>
        <w:rPr>
          <w:lang w:val="en-US"/>
        </w:rPr>
      </w:pPr>
      <w:r w:rsidRPr="00C36BC7">
        <w:rPr>
          <w:lang w:val="en-US"/>
        </w:rPr>
        <w:t>23.6-24 GHz -&gt; 200MHz</w:t>
      </w:r>
      <w:r w:rsidRPr="00C36BC7">
        <w:rPr>
          <w:rFonts w:ascii="MS Mincho" w:eastAsia="MS Mincho" w:hAnsi="MS Mincho" w:cs="MS Mincho" w:hint="eastAsia"/>
          <w:lang w:val="en-US"/>
        </w:rPr>
        <w:t xml:space="preserve">　</w:t>
      </w:r>
    </w:p>
    <w:p w14:paraId="1EE934CF" w14:textId="77777777" w:rsidR="00545241" w:rsidRPr="00C36BC7" w:rsidRDefault="00545241" w:rsidP="002E6767">
      <w:pPr>
        <w:ind w:left="3408"/>
        <w:jc w:val="both"/>
        <w:rPr>
          <w:lang w:val="en-US"/>
        </w:rPr>
      </w:pPr>
      <w:r w:rsidRPr="00C36BC7">
        <w:rPr>
          <w:lang w:val="en-US"/>
        </w:rPr>
        <w:t>31.3-31.8 GHz -&gt; 200MHz</w:t>
      </w:r>
    </w:p>
    <w:p w14:paraId="739BA66A" w14:textId="77777777" w:rsidR="00545241" w:rsidRPr="00C36BC7" w:rsidRDefault="00545241" w:rsidP="002E6767">
      <w:pPr>
        <w:ind w:left="3408"/>
        <w:jc w:val="both"/>
        <w:rPr>
          <w:lang w:val="en-US"/>
        </w:rPr>
      </w:pPr>
      <w:r w:rsidRPr="00C36BC7">
        <w:rPr>
          <w:lang w:val="en-US"/>
        </w:rPr>
        <w:t>50.2-50.4 GHz -&gt; 200MHz</w:t>
      </w:r>
    </w:p>
    <w:p w14:paraId="354C19B5" w14:textId="77777777" w:rsidR="00545241" w:rsidRPr="00C36BC7" w:rsidRDefault="00545241" w:rsidP="002E6767">
      <w:pPr>
        <w:ind w:left="3408"/>
        <w:jc w:val="both"/>
        <w:rPr>
          <w:lang w:val="en-US"/>
        </w:rPr>
      </w:pPr>
      <w:r w:rsidRPr="00C36BC7">
        <w:rPr>
          <w:lang w:val="en-US"/>
        </w:rPr>
        <w:t>52.6-54.25 GHz -&gt; 100MHz</w:t>
      </w:r>
    </w:p>
    <w:p w14:paraId="43830F7E" w14:textId="77777777" w:rsidR="00545241" w:rsidRDefault="00545241" w:rsidP="002E6767">
      <w:pPr>
        <w:ind w:left="3408"/>
        <w:jc w:val="both"/>
        <w:rPr>
          <w:lang w:val="en-US"/>
        </w:rPr>
      </w:pPr>
      <w:r w:rsidRPr="00C36BC7">
        <w:rPr>
          <w:lang w:val="en-US"/>
        </w:rPr>
        <w:t>86-92 GHz -&gt; 100MHz</w:t>
      </w:r>
    </w:p>
    <w:p w14:paraId="262C8761" w14:textId="69A84D50" w:rsidR="007F2705" w:rsidRDefault="002E6767" w:rsidP="002E6767">
      <w:pPr>
        <w:jc w:val="both"/>
        <w:rPr>
          <w:lang w:val="en-US"/>
        </w:rPr>
      </w:pPr>
      <w:r>
        <w:rPr>
          <w:color w:val="000000"/>
        </w:rPr>
        <w:t>Several RAN</w:t>
      </w:r>
      <w:r w:rsidRPr="002E6767">
        <w:rPr>
          <w:color w:val="000000"/>
        </w:rPr>
        <w:t>4</w:t>
      </w:r>
      <w:r>
        <w:rPr>
          <w:color w:val="000000"/>
        </w:rPr>
        <w:t xml:space="preserve"> contributions already addressed this issue </w:t>
      </w:r>
      <w:r>
        <w:rPr>
          <w:color w:val="000000"/>
        </w:rPr>
        <w:fldChar w:fldCharType="begin"/>
      </w:r>
      <w:r>
        <w:rPr>
          <w:color w:val="000000"/>
        </w:rPr>
        <w:instrText xml:space="preserve"> REF _Ref498435364 \r \h  \* MERGEFORMAT </w:instrText>
      </w:r>
      <w:r>
        <w:rPr>
          <w:color w:val="000000"/>
        </w:rPr>
      </w:r>
      <w:r>
        <w:rPr>
          <w:color w:val="000000"/>
        </w:rPr>
        <w:fldChar w:fldCharType="separate"/>
      </w:r>
      <w:r w:rsidR="00A7731F">
        <w:rPr>
          <w:color w:val="000000"/>
        </w:rPr>
        <w:t>[2]</w:t>
      </w:r>
      <w:r>
        <w:rPr>
          <w:color w:val="000000"/>
        </w:rPr>
        <w:fldChar w:fldCharType="end"/>
      </w:r>
      <w:r>
        <w:rPr>
          <w:color w:val="000000"/>
        </w:rPr>
        <w:fldChar w:fldCharType="begin"/>
      </w:r>
      <w:r>
        <w:rPr>
          <w:color w:val="000000"/>
        </w:rPr>
        <w:instrText xml:space="preserve"> REF _Ref498435369 \r \h  \* MERGEFORMAT </w:instrText>
      </w:r>
      <w:r>
        <w:rPr>
          <w:color w:val="000000"/>
        </w:rPr>
      </w:r>
      <w:r>
        <w:rPr>
          <w:color w:val="000000"/>
        </w:rPr>
        <w:fldChar w:fldCharType="separate"/>
      </w:r>
      <w:r w:rsidR="00A7731F">
        <w:rPr>
          <w:color w:val="000000"/>
        </w:rPr>
        <w:t>[3]</w:t>
      </w:r>
      <w:r>
        <w:rPr>
          <w:color w:val="000000"/>
        </w:rPr>
        <w:fldChar w:fldCharType="end"/>
      </w:r>
      <w:r>
        <w:rPr>
          <w:color w:val="000000"/>
        </w:rPr>
        <w:fldChar w:fldCharType="begin"/>
      </w:r>
      <w:r>
        <w:rPr>
          <w:color w:val="000000"/>
        </w:rPr>
        <w:instrText xml:space="preserve"> REF _Ref498435371 \r \h  \* MERGEFORMAT </w:instrText>
      </w:r>
      <w:r>
        <w:rPr>
          <w:color w:val="000000"/>
        </w:rPr>
      </w:r>
      <w:r>
        <w:rPr>
          <w:color w:val="000000"/>
        </w:rPr>
        <w:fldChar w:fldCharType="separate"/>
      </w:r>
      <w:r w:rsidR="00A7731F">
        <w:rPr>
          <w:color w:val="000000"/>
        </w:rPr>
        <w:t>[4]</w:t>
      </w:r>
      <w:r>
        <w:rPr>
          <w:color w:val="000000"/>
        </w:rPr>
        <w:fldChar w:fldCharType="end"/>
      </w:r>
      <w:r>
        <w:rPr>
          <w:color w:val="000000"/>
        </w:rPr>
        <w:fldChar w:fldCharType="begin"/>
      </w:r>
      <w:r>
        <w:rPr>
          <w:color w:val="000000"/>
        </w:rPr>
        <w:instrText xml:space="preserve"> REF _Ref498435373 \r \h  \* MERGEFORMAT </w:instrText>
      </w:r>
      <w:r>
        <w:rPr>
          <w:color w:val="000000"/>
        </w:rPr>
      </w:r>
      <w:r>
        <w:rPr>
          <w:color w:val="000000"/>
        </w:rPr>
        <w:fldChar w:fldCharType="separate"/>
      </w:r>
      <w:r w:rsidR="00A7731F">
        <w:rPr>
          <w:color w:val="000000"/>
        </w:rPr>
        <w:t>[5]</w:t>
      </w:r>
      <w:r>
        <w:rPr>
          <w:color w:val="000000"/>
        </w:rPr>
        <w:fldChar w:fldCharType="end"/>
      </w:r>
      <w:r>
        <w:rPr>
          <w:color w:val="000000"/>
        </w:rPr>
        <w:fldChar w:fldCharType="begin"/>
      </w:r>
      <w:r>
        <w:rPr>
          <w:color w:val="000000"/>
        </w:rPr>
        <w:instrText xml:space="preserve"> REF _Ref498435374 \r \h  \* MERGEFORMAT </w:instrText>
      </w:r>
      <w:r>
        <w:rPr>
          <w:color w:val="000000"/>
        </w:rPr>
      </w:r>
      <w:r>
        <w:rPr>
          <w:color w:val="000000"/>
        </w:rPr>
        <w:fldChar w:fldCharType="separate"/>
      </w:r>
      <w:r w:rsidR="00A7731F">
        <w:rPr>
          <w:color w:val="000000"/>
        </w:rPr>
        <w:t>[6]</w:t>
      </w:r>
      <w:r>
        <w:rPr>
          <w:color w:val="000000"/>
        </w:rPr>
        <w:fldChar w:fldCharType="end"/>
      </w:r>
      <w:r>
        <w:rPr>
          <w:color w:val="000000"/>
        </w:rPr>
        <w:t>. From UE perspective, a “</w:t>
      </w:r>
      <w:r w:rsidRPr="00545241">
        <w:rPr>
          <w:lang w:val="en-US"/>
        </w:rPr>
        <w:t>Way Forward on additional UE spurious emission requirements to protect passive bands</w:t>
      </w:r>
      <w:r>
        <w:rPr>
          <w:lang w:val="en-US"/>
        </w:rPr>
        <w:t xml:space="preserve">” was approved in RAN4 #84bis. The aim of the way forward is to specify the simulation assumptions needed to verify the impact of the additional requirements on UE performance requirement. </w:t>
      </w:r>
      <w:proofErr w:type="gramStart"/>
      <w:r>
        <w:rPr>
          <w:lang w:val="en-US"/>
        </w:rPr>
        <w:t>In particular, the</w:t>
      </w:r>
      <w:proofErr w:type="gramEnd"/>
      <w:r>
        <w:rPr>
          <w:lang w:val="en-US"/>
        </w:rPr>
        <w:t xml:space="preserve"> following bullets were agreed </w:t>
      </w:r>
      <w:r>
        <w:rPr>
          <w:lang w:val="en-US"/>
        </w:rPr>
        <w:fldChar w:fldCharType="begin"/>
      </w:r>
      <w:r>
        <w:rPr>
          <w:lang w:val="en-US"/>
        </w:rPr>
        <w:instrText xml:space="preserve"> REF _Ref498001918 \r \h </w:instrText>
      </w:r>
      <w:r>
        <w:rPr>
          <w:lang w:val="en-US"/>
        </w:rPr>
      </w:r>
      <w:r>
        <w:rPr>
          <w:lang w:val="en-US"/>
        </w:rPr>
        <w:fldChar w:fldCharType="separate"/>
      </w:r>
      <w:r w:rsidR="00A7731F">
        <w:rPr>
          <w:lang w:val="en-US"/>
        </w:rPr>
        <w:t>[1]</w:t>
      </w:r>
      <w:r>
        <w:rPr>
          <w:lang w:val="en-US"/>
        </w:rPr>
        <w:fldChar w:fldCharType="end"/>
      </w:r>
      <w:r>
        <w:rPr>
          <w:lang w:val="en-US"/>
        </w:rPr>
        <w:t>:</w:t>
      </w:r>
    </w:p>
    <w:p w14:paraId="231759CF" w14:textId="77777777" w:rsidR="00E74D3F" w:rsidRPr="002E6767" w:rsidRDefault="000100DE" w:rsidP="002E6767">
      <w:pPr>
        <w:numPr>
          <w:ilvl w:val="0"/>
          <w:numId w:val="40"/>
        </w:numPr>
        <w:jc w:val="both"/>
        <w:rPr>
          <w:i/>
          <w:color w:val="000000"/>
          <w:lang w:val="en-US"/>
        </w:rPr>
      </w:pPr>
      <w:r w:rsidRPr="002E6767">
        <w:rPr>
          <w:i/>
          <w:color w:val="000000"/>
          <w:lang w:val="en-US"/>
        </w:rPr>
        <w:t>To define an additional requirements to protect the passive bands with measurement BW of 200MHz</w:t>
      </w:r>
    </w:p>
    <w:p w14:paraId="51DD0D73" w14:textId="77777777" w:rsidR="00E74D3F" w:rsidRPr="002E6767" w:rsidRDefault="000100DE" w:rsidP="002E6767">
      <w:pPr>
        <w:numPr>
          <w:ilvl w:val="0"/>
          <w:numId w:val="40"/>
        </w:numPr>
        <w:jc w:val="both"/>
        <w:rPr>
          <w:i/>
          <w:color w:val="000000"/>
          <w:lang w:val="en-US"/>
        </w:rPr>
      </w:pPr>
      <w:r w:rsidRPr="002E6767">
        <w:rPr>
          <w:i/>
          <w:color w:val="000000"/>
          <w:lang w:val="en-US"/>
        </w:rPr>
        <w:t>The value of the additional requirement is TBD dBm/200MHz</w:t>
      </w:r>
    </w:p>
    <w:p w14:paraId="2859D7E9" w14:textId="77777777" w:rsidR="00E74D3F" w:rsidRPr="002E6767" w:rsidRDefault="000100DE" w:rsidP="002E6767">
      <w:pPr>
        <w:numPr>
          <w:ilvl w:val="0"/>
          <w:numId w:val="40"/>
        </w:numPr>
        <w:jc w:val="both"/>
        <w:rPr>
          <w:i/>
          <w:color w:val="000000"/>
          <w:lang w:val="en-US"/>
        </w:rPr>
      </w:pPr>
      <w:r w:rsidRPr="002E6767">
        <w:rPr>
          <w:i/>
          <w:color w:val="000000"/>
          <w:lang w:val="en-US"/>
        </w:rPr>
        <w:t>RAN4 does not need to specify any image rejection requirement</w:t>
      </w:r>
    </w:p>
    <w:p w14:paraId="19BCC509" w14:textId="77777777" w:rsidR="00E74D3F" w:rsidRPr="002E6767" w:rsidRDefault="000100DE" w:rsidP="002E6767">
      <w:pPr>
        <w:numPr>
          <w:ilvl w:val="0"/>
          <w:numId w:val="40"/>
        </w:numPr>
        <w:jc w:val="both"/>
        <w:rPr>
          <w:i/>
          <w:color w:val="000000"/>
          <w:lang w:val="en-US"/>
        </w:rPr>
      </w:pPr>
      <w:r w:rsidRPr="002E6767">
        <w:rPr>
          <w:i/>
          <w:color w:val="000000"/>
          <w:lang w:val="en-US"/>
        </w:rPr>
        <w:t>RAN4 will study required power back off and/or RB restriction needed to meet the target of -7 dBm/200MHz in the 23.8-24 GHz frequency range.</w:t>
      </w:r>
    </w:p>
    <w:p w14:paraId="79DFB75E" w14:textId="77777777" w:rsidR="00E74D3F" w:rsidRPr="002E6767" w:rsidRDefault="000100DE" w:rsidP="002E6767">
      <w:pPr>
        <w:numPr>
          <w:ilvl w:val="0"/>
          <w:numId w:val="40"/>
        </w:numPr>
        <w:jc w:val="both"/>
        <w:rPr>
          <w:i/>
          <w:color w:val="000000"/>
          <w:lang w:val="en-US"/>
        </w:rPr>
      </w:pPr>
      <w:r w:rsidRPr="002E6767">
        <w:rPr>
          <w:i/>
          <w:color w:val="000000"/>
          <w:lang w:val="en-US"/>
        </w:rPr>
        <w:t>The following NR transmission configuration should be studied:</w:t>
      </w:r>
    </w:p>
    <w:p w14:paraId="168A8DD5" w14:textId="77777777" w:rsidR="00E74D3F" w:rsidRPr="002E6767" w:rsidRDefault="000100DE" w:rsidP="002E6767">
      <w:pPr>
        <w:numPr>
          <w:ilvl w:val="1"/>
          <w:numId w:val="40"/>
        </w:numPr>
        <w:jc w:val="both"/>
        <w:rPr>
          <w:i/>
          <w:color w:val="000000"/>
          <w:lang w:val="en-US"/>
        </w:rPr>
      </w:pPr>
      <w:r w:rsidRPr="002E6767">
        <w:rPr>
          <w:i/>
          <w:color w:val="000000"/>
          <w:lang w:val="en-US"/>
        </w:rPr>
        <w:t>Band: n257 and 258.</w:t>
      </w:r>
    </w:p>
    <w:p w14:paraId="5C6FE172" w14:textId="77777777" w:rsidR="00E74D3F" w:rsidRPr="002E6767" w:rsidRDefault="000100DE" w:rsidP="002E6767">
      <w:pPr>
        <w:numPr>
          <w:ilvl w:val="1"/>
          <w:numId w:val="40"/>
        </w:numPr>
        <w:jc w:val="both"/>
        <w:rPr>
          <w:i/>
          <w:color w:val="000000"/>
          <w:lang w:val="en-US"/>
        </w:rPr>
      </w:pPr>
      <w:r w:rsidRPr="002E6767">
        <w:rPr>
          <w:i/>
          <w:color w:val="000000"/>
          <w:lang w:val="en-US"/>
        </w:rPr>
        <w:lastRenderedPageBreak/>
        <w:t>Channel BW: 400 MHz and 800MHz.</w:t>
      </w:r>
    </w:p>
    <w:p w14:paraId="4B28ADAD" w14:textId="77777777" w:rsidR="00E74D3F" w:rsidRPr="002E6767" w:rsidRDefault="000100DE" w:rsidP="002E6767">
      <w:pPr>
        <w:numPr>
          <w:ilvl w:val="1"/>
          <w:numId w:val="40"/>
        </w:numPr>
        <w:jc w:val="both"/>
        <w:rPr>
          <w:i/>
          <w:color w:val="000000"/>
          <w:lang w:val="en-US"/>
        </w:rPr>
      </w:pPr>
      <w:r w:rsidRPr="002E6767">
        <w:rPr>
          <w:i/>
          <w:color w:val="000000"/>
          <w:lang w:val="en-US"/>
        </w:rPr>
        <w:t>Channel location: lowest channel in the band (i.e. starting from 26.5GHz for n257 and from 24.25GHz for n258)</w:t>
      </w:r>
    </w:p>
    <w:p w14:paraId="729BA8D3" w14:textId="77777777" w:rsidR="00E74D3F" w:rsidRPr="002E6767" w:rsidRDefault="000100DE" w:rsidP="002E6767">
      <w:pPr>
        <w:numPr>
          <w:ilvl w:val="2"/>
          <w:numId w:val="40"/>
        </w:numPr>
        <w:jc w:val="both"/>
        <w:rPr>
          <w:i/>
          <w:color w:val="000000"/>
          <w:lang w:val="en-US"/>
        </w:rPr>
      </w:pPr>
      <w:r w:rsidRPr="002E6767">
        <w:rPr>
          <w:i/>
          <w:color w:val="000000"/>
          <w:lang w:val="en-US"/>
        </w:rPr>
        <w:t>If the cases above need no restriction, evaluation for different channel location is not needed .</w:t>
      </w:r>
    </w:p>
    <w:p w14:paraId="58A8A4D5" w14:textId="77777777" w:rsidR="00E74D3F" w:rsidRPr="002E6767" w:rsidRDefault="000100DE" w:rsidP="002E6767">
      <w:pPr>
        <w:numPr>
          <w:ilvl w:val="2"/>
          <w:numId w:val="40"/>
        </w:numPr>
        <w:jc w:val="both"/>
        <w:rPr>
          <w:i/>
          <w:color w:val="000000"/>
          <w:lang w:val="en-US"/>
        </w:rPr>
      </w:pPr>
      <w:r w:rsidRPr="002E6767">
        <w:rPr>
          <w:i/>
          <w:color w:val="000000"/>
          <w:lang w:val="en-US"/>
        </w:rPr>
        <w:t xml:space="preserve">Otherwise, upper frequency channel allocation needs to be studied with steps of 200 MHz granularity. </w:t>
      </w:r>
    </w:p>
    <w:p w14:paraId="58C854B9" w14:textId="77777777" w:rsidR="00E74D3F" w:rsidRPr="002E6767" w:rsidRDefault="000100DE" w:rsidP="002E6767">
      <w:pPr>
        <w:numPr>
          <w:ilvl w:val="0"/>
          <w:numId w:val="40"/>
        </w:numPr>
        <w:jc w:val="both"/>
        <w:rPr>
          <w:i/>
          <w:color w:val="000000"/>
          <w:lang w:val="en-US"/>
        </w:rPr>
      </w:pPr>
      <w:r w:rsidRPr="002E6767">
        <w:rPr>
          <w:i/>
          <w:color w:val="000000"/>
          <w:lang w:val="en-US"/>
        </w:rPr>
        <w:t>In RAN4 #85, we will inform ITU-R WP5D and CEPT PT1 about the outcome of the study in terms of power reduction, resource allocation restriction needed to meet the additional requirement</w:t>
      </w:r>
    </w:p>
    <w:p w14:paraId="2C23081C" w14:textId="041FBFC8" w:rsidR="002E6767" w:rsidRPr="002E6767" w:rsidRDefault="002E6767" w:rsidP="002E6767">
      <w:pPr>
        <w:jc w:val="both"/>
        <w:rPr>
          <w:color w:val="000000"/>
        </w:rPr>
      </w:pPr>
      <w:r>
        <w:rPr>
          <w:color w:val="000000"/>
        </w:rPr>
        <w:t>In the following sections we will provide more details about the simulation performed and we summarize our finding with few key observations. Based on the outcome of the study we will also make a specific proposal for the additional requirement to be defined in TS 38.101-2.</w:t>
      </w:r>
    </w:p>
    <w:p w14:paraId="78EB409D" w14:textId="0EB12966" w:rsidR="007F2705" w:rsidRDefault="007F2705" w:rsidP="0091110E">
      <w:pPr>
        <w:rPr>
          <w:rFonts w:ascii="Arial" w:hAnsi="Arial" w:cs="Arial"/>
          <w:color w:val="000000"/>
          <w:sz w:val="18"/>
          <w:szCs w:val="18"/>
        </w:rPr>
      </w:pPr>
    </w:p>
    <w:p w14:paraId="1CCD8D01" w14:textId="18590DDA" w:rsidR="00545241" w:rsidRDefault="00C2361C" w:rsidP="00545241">
      <w:pPr>
        <w:pStyle w:val="Heading1"/>
        <w:tabs>
          <w:tab w:val="clear" w:pos="432"/>
          <w:tab w:val="num" w:pos="522"/>
        </w:tabs>
        <w:ind w:left="522" w:hanging="522"/>
        <w:jc w:val="both"/>
        <w:rPr>
          <w:lang w:val="en-US"/>
        </w:rPr>
      </w:pPr>
      <w:r>
        <w:rPr>
          <w:lang w:val="en-US"/>
        </w:rPr>
        <w:t>Impact of additional spurious emission requirement: methodology and results</w:t>
      </w:r>
    </w:p>
    <w:p w14:paraId="106AAB42" w14:textId="322DD6E8" w:rsidR="007F2705" w:rsidRDefault="0091110E" w:rsidP="0091110E">
      <w:pPr>
        <w:jc w:val="both"/>
        <w:rPr>
          <w:rFonts w:ascii="Arial" w:hAnsi="Arial" w:cs="Arial"/>
          <w:color w:val="000000"/>
          <w:sz w:val="18"/>
          <w:szCs w:val="18"/>
        </w:rPr>
      </w:pPr>
      <w:r>
        <w:rPr>
          <w:color w:val="000000"/>
        </w:rPr>
        <w:t>In our analysis, we observed that given the very large measurement bandwidth, the bottleneck to meet the -7dBm/MHz is spectral regrowth, and therefore overlapping with ACLR/SEM region. By considering a</w:t>
      </w:r>
      <w:r w:rsidR="001A7A83">
        <w:rPr>
          <w:color w:val="000000"/>
        </w:rPr>
        <w:t xml:space="preserve"> QPSK</w:t>
      </w:r>
      <w:r>
        <w:rPr>
          <w:color w:val="000000"/>
        </w:rPr>
        <w:t xml:space="preserve"> 800MHz </w:t>
      </w:r>
      <w:r w:rsidR="001A7A83">
        <w:rPr>
          <w:color w:val="000000"/>
        </w:rPr>
        <w:t>waveform</w:t>
      </w:r>
      <w:r>
        <w:rPr>
          <w:color w:val="000000"/>
        </w:rPr>
        <w:t xml:space="preserve"> with 23dBm TRP, we observed a power reduction needed to meet -7dBm/200MHz in the adjacent 200MHz of about </w:t>
      </w:r>
      <w:r w:rsidR="00DA7091">
        <w:rPr>
          <w:color w:val="000000"/>
        </w:rPr>
        <w:t>[</w:t>
      </w:r>
      <w:proofErr w:type="gramStart"/>
      <w:r w:rsidR="00DA7091">
        <w:rPr>
          <w:color w:val="000000"/>
        </w:rPr>
        <w:t>4]</w:t>
      </w:r>
      <w:proofErr w:type="spellStart"/>
      <w:r>
        <w:rPr>
          <w:color w:val="000000"/>
        </w:rPr>
        <w:t>dB</w:t>
      </w:r>
      <w:proofErr w:type="gramEnd"/>
      <w:r>
        <w:rPr>
          <w:color w:val="000000"/>
        </w:rPr>
        <w:t>.</w:t>
      </w:r>
      <w:proofErr w:type="spellEnd"/>
      <w:r>
        <w:rPr>
          <w:color w:val="000000"/>
        </w:rPr>
        <w:t xml:space="preserve"> Considering 250MHz offset, the amount of power reduction needed is about TBD </w:t>
      </w:r>
      <w:proofErr w:type="spellStart"/>
      <w:r>
        <w:rPr>
          <w:color w:val="000000"/>
        </w:rPr>
        <w:t>dB.</w:t>
      </w:r>
      <w:proofErr w:type="spellEnd"/>
      <w:r>
        <w:rPr>
          <w:color w:val="000000"/>
        </w:rPr>
        <w:t xml:space="preserve"> </w:t>
      </w:r>
    </w:p>
    <w:p w14:paraId="0EEA10A8" w14:textId="6E0493DA" w:rsidR="0091110E" w:rsidRDefault="0091110E" w:rsidP="0091110E">
      <w:pPr>
        <w:rPr>
          <w:rFonts w:ascii="Arial" w:hAnsi="Arial" w:cs="Arial"/>
          <w:color w:val="000000"/>
          <w:sz w:val="18"/>
          <w:szCs w:val="18"/>
        </w:rPr>
      </w:pPr>
      <w:r>
        <w:rPr>
          <w:rFonts w:ascii="Arial" w:hAnsi="Arial" w:cs="Arial"/>
          <w:color w:val="000000"/>
          <w:sz w:val="18"/>
          <w:szCs w:val="18"/>
        </w:rPr>
        <w:t>SIMULATIONS AND PSD PLOT TO BE INCLUDED HERE</w:t>
      </w:r>
      <w:r w:rsidR="00BE506C">
        <w:rPr>
          <w:rFonts w:ascii="Arial" w:hAnsi="Arial" w:cs="Arial"/>
          <w:color w:val="000000"/>
          <w:sz w:val="18"/>
          <w:szCs w:val="18"/>
        </w:rPr>
        <w:t xml:space="preserve"> (PAPER WILL BE REVISED)</w:t>
      </w:r>
    </w:p>
    <w:p w14:paraId="2F24E24D" w14:textId="413CE2CB" w:rsidR="0091110E" w:rsidRDefault="0091110E" w:rsidP="0091110E">
      <w:pPr>
        <w:pStyle w:val="Heading1"/>
        <w:tabs>
          <w:tab w:val="clear" w:pos="432"/>
          <w:tab w:val="num" w:pos="522"/>
        </w:tabs>
        <w:ind w:left="522" w:hanging="522"/>
        <w:jc w:val="both"/>
        <w:rPr>
          <w:lang w:val="en-US"/>
        </w:rPr>
      </w:pPr>
      <w:r>
        <w:rPr>
          <w:lang w:val="en-US"/>
        </w:rPr>
        <w:t>Impact on capacity and coverage</w:t>
      </w:r>
    </w:p>
    <w:p w14:paraId="02951621" w14:textId="6D7C4DE2" w:rsidR="007F2705" w:rsidRDefault="0091110E" w:rsidP="0091110E">
      <w:pPr>
        <w:rPr>
          <w:rFonts w:ascii="Arial" w:hAnsi="Arial" w:cs="Arial"/>
          <w:color w:val="000000"/>
          <w:sz w:val="18"/>
          <w:szCs w:val="18"/>
        </w:rPr>
      </w:pPr>
      <w:r>
        <w:rPr>
          <w:rFonts w:ascii="Arial" w:hAnsi="Arial" w:cs="Arial"/>
          <w:color w:val="000000"/>
          <w:sz w:val="18"/>
          <w:szCs w:val="18"/>
        </w:rPr>
        <w:t>ANALYSIS TO BE INCLUDED HERE</w:t>
      </w:r>
      <w:r w:rsidR="00BE506C">
        <w:rPr>
          <w:rFonts w:ascii="Arial" w:hAnsi="Arial" w:cs="Arial"/>
          <w:color w:val="000000"/>
          <w:sz w:val="18"/>
          <w:szCs w:val="18"/>
        </w:rPr>
        <w:t xml:space="preserve"> </w:t>
      </w:r>
      <w:r w:rsidR="00BE506C">
        <w:rPr>
          <w:rFonts w:ascii="Arial" w:hAnsi="Arial" w:cs="Arial"/>
          <w:color w:val="000000"/>
          <w:sz w:val="18"/>
          <w:szCs w:val="18"/>
        </w:rPr>
        <w:t>(PAPER WILL BE REVISED)</w:t>
      </w:r>
    </w:p>
    <w:p w14:paraId="511A5A68" w14:textId="77777777" w:rsidR="0091110E" w:rsidRDefault="0091110E" w:rsidP="0091110E">
      <w:pPr>
        <w:rPr>
          <w:rFonts w:ascii="Arial" w:hAnsi="Arial" w:cs="Arial"/>
          <w:color w:val="000000"/>
          <w:sz w:val="18"/>
          <w:szCs w:val="18"/>
        </w:rPr>
      </w:pPr>
    </w:p>
    <w:p w14:paraId="708E42C4" w14:textId="5805B9D0" w:rsidR="0091110E" w:rsidRDefault="0091110E" w:rsidP="0091110E">
      <w:pPr>
        <w:pStyle w:val="Heading1"/>
        <w:tabs>
          <w:tab w:val="clear" w:pos="432"/>
          <w:tab w:val="num" w:pos="522"/>
        </w:tabs>
        <w:ind w:left="522" w:hanging="522"/>
        <w:jc w:val="both"/>
        <w:rPr>
          <w:lang w:val="en-US"/>
        </w:rPr>
      </w:pPr>
      <w:r>
        <w:rPr>
          <w:lang w:val="en-US"/>
        </w:rPr>
        <w:t>Proposals</w:t>
      </w:r>
    </w:p>
    <w:p w14:paraId="24A05F12" w14:textId="06FD00E2" w:rsidR="0091110E" w:rsidRDefault="0091110E" w:rsidP="0091110E">
      <w:pPr>
        <w:rPr>
          <w:color w:val="000000"/>
        </w:rPr>
      </w:pPr>
      <w:r>
        <w:rPr>
          <w:color w:val="000000"/>
        </w:rPr>
        <w:t>Given the results obtained in our analysis, we propose to define the additional requirement of -7dBm/200MHz or the 23.6-24GHz passive band and to decide power reduction needed to meet the requirement</w:t>
      </w:r>
      <w:r w:rsidR="003C658D">
        <w:rPr>
          <w:color w:val="000000"/>
        </w:rPr>
        <w:t xml:space="preserve"> in RAN4 NR Ad Hoc #4</w:t>
      </w:r>
      <w:r>
        <w:rPr>
          <w:color w:val="000000"/>
        </w:rPr>
        <w:t>.</w:t>
      </w:r>
    </w:p>
    <w:p w14:paraId="1FAB55CF" w14:textId="520C4F95" w:rsidR="007F2705" w:rsidRPr="003C658D" w:rsidRDefault="0091110E" w:rsidP="0091110E">
      <w:pPr>
        <w:rPr>
          <w:b/>
          <w:i/>
          <w:color w:val="000000"/>
        </w:rPr>
      </w:pPr>
      <w:r w:rsidRPr="003C658D">
        <w:rPr>
          <w:b/>
          <w:i/>
          <w:color w:val="000000"/>
        </w:rPr>
        <w:t xml:space="preserve">Proposal 1: to define -7dBm/200MHz as additional UE spurious emission requirement in 23.6-24GHz frequency range. </w:t>
      </w:r>
    </w:p>
    <w:p w14:paraId="3D55DA99" w14:textId="0A9E685A" w:rsidR="0091110E" w:rsidRPr="003C658D" w:rsidRDefault="0091110E" w:rsidP="0091110E">
      <w:pPr>
        <w:rPr>
          <w:rFonts w:ascii="Arial" w:hAnsi="Arial" w:cs="Arial"/>
          <w:i/>
          <w:color w:val="000000"/>
          <w:sz w:val="18"/>
          <w:szCs w:val="18"/>
        </w:rPr>
      </w:pPr>
      <w:r w:rsidRPr="003C658D">
        <w:rPr>
          <w:b/>
          <w:i/>
          <w:color w:val="000000"/>
        </w:rPr>
        <w:t xml:space="preserve">Proposal </w:t>
      </w:r>
      <w:r w:rsidR="00BE506C">
        <w:rPr>
          <w:b/>
          <w:i/>
          <w:color w:val="000000"/>
        </w:rPr>
        <w:t>2</w:t>
      </w:r>
      <w:r w:rsidRPr="003C658D">
        <w:rPr>
          <w:b/>
          <w:i/>
          <w:color w:val="000000"/>
        </w:rPr>
        <w:t xml:space="preserve">: to define </w:t>
      </w:r>
      <w:r w:rsidRPr="003C658D">
        <w:rPr>
          <w:b/>
          <w:i/>
          <w:color w:val="000000"/>
        </w:rPr>
        <w:t xml:space="preserve">the </w:t>
      </w:r>
      <w:r w:rsidR="003C658D" w:rsidRPr="003C658D">
        <w:rPr>
          <w:b/>
          <w:i/>
          <w:color w:val="000000"/>
        </w:rPr>
        <w:t xml:space="preserve">amount of power reduction needed to meet the </w:t>
      </w:r>
      <w:r w:rsidRPr="003C658D">
        <w:rPr>
          <w:b/>
          <w:i/>
          <w:color w:val="000000"/>
        </w:rPr>
        <w:t>additional UE spurious emission requirement in</w:t>
      </w:r>
      <w:r w:rsidR="003C658D" w:rsidRPr="003C658D">
        <w:rPr>
          <w:i/>
          <w:color w:val="000000"/>
        </w:rPr>
        <w:t xml:space="preserve"> </w:t>
      </w:r>
      <w:r w:rsidR="003C658D" w:rsidRPr="003C658D">
        <w:rPr>
          <w:b/>
          <w:i/>
          <w:color w:val="000000"/>
        </w:rPr>
        <w:t>RAN4 NR Ad Hoc #4</w:t>
      </w:r>
      <w:r w:rsidRPr="003C658D">
        <w:rPr>
          <w:i/>
          <w:color w:val="000000"/>
        </w:rPr>
        <w:t>.</w:t>
      </w:r>
    </w:p>
    <w:p w14:paraId="134719B8" w14:textId="77777777" w:rsidR="00B80E63" w:rsidRDefault="00B80E63" w:rsidP="00B80E63">
      <w:pPr>
        <w:jc w:val="both"/>
        <w:rPr>
          <w:lang w:val="en-US"/>
        </w:rPr>
      </w:pPr>
    </w:p>
    <w:p w14:paraId="53404A85" w14:textId="4EA32936" w:rsidR="007F2705" w:rsidRPr="00B80E63" w:rsidRDefault="00B80E63" w:rsidP="00B80E63">
      <w:pPr>
        <w:pStyle w:val="Heading1"/>
        <w:numPr>
          <w:ilvl w:val="0"/>
          <w:numId w:val="0"/>
        </w:numPr>
        <w:tabs>
          <w:tab w:val="num" w:pos="432"/>
        </w:tabs>
        <w:ind w:left="432" w:hanging="432"/>
        <w:jc w:val="both"/>
        <w:rPr>
          <w:lang w:val="en-US"/>
        </w:rPr>
      </w:pPr>
      <w:r>
        <w:rPr>
          <w:lang w:val="en-US"/>
        </w:rPr>
        <w:t>Conclusions</w:t>
      </w:r>
    </w:p>
    <w:p w14:paraId="7218E67A" w14:textId="77777777" w:rsidR="003C658D" w:rsidRDefault="0091110E" w:rsidP="0091110E">
      <w:pPr>
        <w:rPr>
          <w:lang w:val="en-US"/>
        </w:rPr>
      </w:pPr>
      <w:r>
        <w:rPr>
          <w:lang w:val="en-US"/>
        </w:rPr>
        <w:t>In this contribution, we analy</w:t>
      </w:r>
      <w:r w:rsidR="003C658D">
        <w:rPr>
          <w:lang w:val="en-US"/>
        </w:rPr>
        <w:t>ze the additional requirements</w:t>
      </w:r>
      <w:r>
        <w:rPr>
          <w:lang w:val="en-US"/>
        </w:rPr>
        <w:t xml:space="preserve"> </w:t>
      </w:r>
      <w:r w:rsidR="003C658D">
        <w:rPr>
          <w:lang w:val="en-US"/>
        </w:rPr>
        <w:t xml:space="preserve">of -7dBm/200MHz needed to protect passive bands. Based on the outcome of our analysis, we made the following </w:t>
      </w:r>
      <w:bookmarkStart w:id="1" w:name="_GoBack"/>
      <w:bookmarkEnd w:id="1"/>
      <w:r w:rsidR="003C658D">
        <w:rPr>
          <w:lang w:val="en-US"/>
        </w:rPr>
        <w:t>proposals:</w:t>
      </w:r>
    </w:p>
    <w:p w14:paraId="66A9E727" w14:textId="77777777" w:rsidR="003C658D" w:rsidRPr="003C658D" w:rsidRDefault="003C658D" w:rsidP="003C658D">
      <w:pPr>
        <w:rPr>
          <w:b/>
          <w:i/>
          <w:color w:val="000000"/>
        </w:rPr>
      </w:pPr>
      <w:r w:rsidRPr="003C658D">
        <w:rPr>
          <w:b/>
          <w:i/>
          <w:color w:val="000000"/>
        </w:rPr>
        <w:t xml:space="preserve">Proposal 1: to define -7dBm/200MHz as additional UE spurious emission requirement in 23.6-24GHz frequency range. </w:t>
      </w:r>
    </w:p>
    <w:p w14:paraId="1F15AC98" w14:textId="79E89D4F" w:rsidR="003C658D" w:rsidRPr="003C658D" w:rsidRDefault="003C658D" w:rsidP="003C658D">
      <w:pPr>
        <w:rPr>
          <w:rFonts w:ascii="Arial" w:hAnsi="Arial" w:cs="Arial"/>
          <w:i/>
          <w:color w:val="000000"/>
          <w:sz w:val="18"/>
          <w:szCs w:val="18"/>
        </w:rPr>
      </w:pPr>
      <w:r w:rsidRPr="003C658D">
        <w:rPr>
          <w:b/>
          <w:i/>
          <w:color w:val="000000"/>
        </w:rPr>
        <w:t xml:space="preserve">Proposal </w:t>
      </w:r>
      <w:r w:rsidR="00BE506C">
        <w:rPr>
          <w:b/>
          <w:i/>
          <w:color w:val="000000"/>
        </w:rPr>
        <w:t>2</w:t>
      </w:r>
      <w:r w:rsidRPr="003C658D">
        <w:rPr>
          <w:b/>
          <w:i/>
          <w:color w:val="000000"/>
        </w:rPr>
        <w:t>: to define the amount of power reduction needed to meet the additional UE spurious emission requirement in</w:t>
      </w:r>
      <w:r w:rsidRPr="003C658D">
        <w:rPr>
          <w:i/>
          <w:color w:val="000000"/>
        </w:rPr>
        <w:t xml:space="preserve"> </w:t>
      </w:r>
      <w:r w:rsidRPr="003C658D">
        <w:rPr>
          <w:b/>
          <w:i/>
          <w:color w:val="000000"/>
        </w:rPr>
        <w:t>RAN4 NR Ad Hoc #4</w:t>
      </w:r>
      <w:r w:rsidRPr="003C658D">
        <w:rPr>
          <w:i/>
          <w:color w:val="000000"/>
        </w:rPr>
        <w:t>.</w:t>
      </w:r>
    </w:p>
    <w:p w14:paraId="66EC86FC" w14:textId="77777777" w:rsidR="00D753D3" w:rsidRDefault="00D753D3" w:rsidP="0040474E">
      <w:pPr>
        <w:jc w:val="both"/>
        <w:rPr>
          <w:lang w:val="en-US"/>
        </w:rPr>
      </w:pP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lastRenderedPageBreak/>
        <w:t>Reference</w:t>
      </w:r>
    </w:p>
    <w:p w14:paraId="1D6B8FB0" w14:textId="3C4D86E9" w:rsidR="00BE5C82" w:rsidRDefault="00545241" w:rsidP="00545241">
      <w:pPr>
        <w:pStyle w:val="ListParagraph"/>
        <w:numPr>
          <w:ilvl w:val="0"/>
          <w:numId w:val="2"/>
        </w:numPr>
        <w:jc w:val="both"/>
        <w:rPr>
          <w:lang w:val="en-US"/>
        </w:rPr>
      </w:pPr>
      <w:bookmarkStart w:id="2" w:name="_Ref498001918"/>
      <w:bookmarkStart w:id="3" w:name="_Ref489522242"/>
      <w:bookmarkStart w:id="4" w:name="_Ref489521993"/>
      <w:bookmarkStart w:id="5" w:name="_Ref481663184"/>
      <w:bookmarkStart w:id="6" w:name="_Ref473813022"/>
      <w:bookmarkStart w:id="7" w:name="_Ref465947019"/>
      <w:r>
        <w:rPr>
          <w:lang w:val="en-US"/>
        </w:rPr>
        <w:t>R4-1711403</w:t>
      </w:r>
      <w:r w:rsidR="00BE5C82">
        <w:rPr>
          <w:lang w:val="en-US"/>
        </w:rPr>
        <w:t>,</w:t>
      </w:r>
      <w:r w:rsidR="00BE5C82" w:rsidRPr="00D75565">
        <w:rPr>
          <w:lang w:val="en-US"/>
        </w:rPr>
        <w:t xml:space="preserve"> </w:t>
      </w:r>
      <w:r w:rsidR="00BE5C82">
        <w:rPr>
          <w:lang w:val="en-US"/>
        </w:rPr>
        <w:t>“</w:t>
      </w:r>
      <w:r w:rsidRPr="00545241">
        <w:rPr>
          <w:lang w:val="en-US"/>
        </w:rPr>
        <w:t>Way Forward on additional UE spurious emission requirements to protect passive bands</w:t>
      </w:r>
      <w:r w:rsidR="00BE5C82">
        <w:rPr>
          <w:lang w:val="en-US"/>
        </w:rPr>
        <w:t>”, Qualcomm Incorporated</w:t>
      </w:r>
      <w:r>
        <w:rPr>
          <w:lang w:val="en-US"/>
        </w:rPr>
        <w:t>, Intel, Skyworks Solutions</w:t>
      </w:r>
      <w:r w:rsidR="00BE5C82">
        <w:rPr>
          <w:lang w:val="en-US"/>
        </w:rPr>
        <w:t>.</w:t>
      </w:r>
      <w:bookmarkEnd w:id="2"/>
    </w:p>
    <w:p w14:paraId="062756DD" w14:textId="30B2CE2E" w:rsidR="00E74D3F" w:rsidRPr="00545241" w:rsidRDefault="000100DE" w:rsidP="00545241">
      <w:pPr>
        <w:pStyle w:val="ListParagraph"/>
        <w:numPr>
          <w:ilvl w:val="0"/>
          <w:numId w:val="2"/>
        </w:numPr>
        <w:jc w:val="both"/>
        <w:rPr>
          <w:lang w:val="en-US"/>
        </w:rPr>
      </w:pPr>
      <w:bookmarkStart w:id="8" w:name="_Ref498435235"/>
      <w:bookmarkStart w:id="9" w:name="_Ref498435364"/>
      <w:r w:rsidRPr="00545241">
        <w:rPr>
          <w:lang w:val="en-US"/>
        </w:rPr>
        <w:t>R4-1710084, "LS on Unwanted emissions of IMT-2020" to ITU-R WP5D</w:t>
      </w:r>
      <w:bookmarkEnd w:id="8"/>
      <w:r w:rsidR="002E6767">
        <w:rPr>
          <w:lang w:val="en-US"/>
        </w:rPr>
        <w:t>.</w:t>
      </w:r>
      <w:bookmarkEnd w:id="9"/>
    </w:p>
    <w:p w14:paraId="5335267E" w14:textId="142E96C2" w:rsidR="00E74D3F" w:rsidRPr="00545241" w:rsidRDefault="000100DE" w:rsidP="00545241">
      <w:pPr>
        <w:pStyle w:val="ListParagraph"/>
        <w:numPr>
          <w:ilvl w:val="0"/>
          <w:numId w:val="2"/>
        </w:numPr>
        <w:jc w:val="both"/>
        <w:rPr>
          <w:lang w:val="en-US"/>
        </w:rPr>
      </w:pPr>
      <w:bookmarkStart w:id="10" w:name="_Ref498435369"/>
      <w:r w:rsidRPr="00545241">
        <w:rPr>
          <w:lang w:val="en-US"/>
        </w:rPr>
        <w:t xml:space="preserve">R4-1707701, “Feasibility of improved spurious emissions in NR </w:t>
      </w:r>
      <w:proofErr w:type="spellStart"/>
      <w:r w:rsidRPr="00545241">
        <w:rPr>
          <w:lang w:val="en-US"/>
        </w:rPr>
        <w:t>mmWave</w:t>
      </w:r>
      <w:proofErr w:type="spellEnd"/>
      <w:r w:rsidRPr="00545241">
        <w:rPr>
          <w:lang w:val="en-US"/>
        </w:rPr>
        <w:t xml:space="preserve"> UE”, Skyworks Solutions Inc.</w:t>
      </w:r>
      <w:bookmarkEnd w:id="10"/>
    </w:p>
    <w:p w14:paraId="39128485" w14:textId="42415F25" w:rsidR="00E74D3F" w:rsidRPr="00545241" w:rsidRDefault="000100DE" w:rsidP="00545241">
      <w:pPr>
        <w:pStyle w:val="ListParagraph"/>
        <w:numPr>
          <w:ilvl w:val="0"/>
          <w:numId w:val="2"/>
        </w:numPr>
        <w:jc w:val="both"/>
        <w:rPr>
          <w:lang w:val="en-US"/>
        </w:rPr>
      </w:pPr>
      <w:bookmarkStart w:id="11" w:name="_Ref498435371"/>
      <w:r w:rsidRPr="00545241">
        <w:rPr>
          <w:lang w:val="en-US"/>
        </w:rPr>
        <w:t>R4-1708125, “On spurious emission limits for mm-wave bands”, Ericsson.</w:t>
      </w:r>
      <w:bookmarkEnd w:id="11"/>
    </w:p>
    <w:p w14:paraId="1672A681" w14:textId="0BEA96A0" w:rsidR="00E74D3F" w:rsidRPr="00545241" w:rsidRDefault="000100DE" w:rsidP="00545241">
      <w:pPr>
        <w:pStyle w:val="ListParagraph"/>
        <w:numPr>
          <w:ilvl w:val="0"/>
          <w:numId w:val="2"/>
        </w:numPr>
        <w:jc w:val="both"/>
        <w:rPr>
          <w:lang w:val="en-US"/>
        </w:rPr>
      </w:pPr>
      <w:bookmarkStart w:id="12" w:name="_Ref498435373"/>
      <w:r w:rsidRPr="00545241">
        <w:rPr>
          <w:lang w:val="en-US"/>
        </w:rPr>
        <w:t>R4-1708450, “General observations on UE emissions in mmW”, Qualcomm Incorporated.</w:t>
      </w:r>
      <w:bookmarkEnd w:id="12"/>
    </w:p>
    <w:p w14:paraId="476A6194" w14:textId="2E6C5DB5" w:rsidR="00E74D3F" w:rsidRPr="00545241" w:rsidRDefault="000100DE" w:rsidP="00545241">
      <w:pPr>
        <w:pStyle w:val="ListParagraph"/>
        <w:numPr>
          <w:ilvl w:val="0"/>
          <w:numId w:val="2"/>
        </w:numPr>
        <w:jc w:val="both"/>
        <w:rPr>
          <w:lang w:val="en-US"/>
        </w:rPr>
      </w:pPr>
      <w:bookmarkStart w:id="13" w:name="_Ref498435374"/>
      <w:r w:rsidRPr="00545241">
        <w:rPr>
          <w:lang w:val="en-US"/>
        </w:rPr>
        <w:t>R4-1709330, “NR UE above 24GHz Spurious Emissions and Protected Bands”, Skyworks Solutions Inc.</w:t>
      </w:r>
      <w:bookmarkEnd w:id="13"/>
    </w:p>
    <w:p w14:paraId="572E45E1" w14:textId="5975DDDC" w:rsidR="00E74D3F" w:rsidRPr="00545241" w:rsidRDefault="000100DE" w:rsidP="00545241">
      <w:pPr>
        <w:pStyle w:val="ListParagraph"/>
        <w:numPr>
          <w:ilvl w:val="0"/>
          <w:numId w:val="2"/>
        </w:numPr>
        <w:jc w:val="both"/>
        <w:rPr>
          <w:lang w:val="en-US"/>
        </w:rPr>
      </w:pPr>
      <w:r w:rsidRPr="00545241">
        <w:rPr>
          <w:lang w:val="en-US"/>
        </w:rPr>
        <w:t xml:space="preserve">R4-1709408, “On spurious emissions requirement for </w:t>
      </w:r>
      <w:proofErr w:type="spellStart"/>
      <w:r w:rsidRPr="00545241">
        <w:rPr>
          <w:lang w:val="en-US"/>
        </w:rPr>
        <w:t>mmWave</w:t>
      </w:r>
      <w:proofErr w:type="spellEnd"/>
      <w:r w:rsidRPr="00545241">
        <w:rPr>
          <w:lang w:val="en-US"/>
        </w:rPr>
        <w:t xml:space="preserve"> NR”, Intel Corporation.</w:t>
      </w:r>
    </w:p>
    <w:bookmarkEnd w:id="3"/>
    <w:bookmarkEnd w:id="4"/>
    <w:bookmarkEnd w:id="5"/>
    <w:bookmarkEnd w:id="6"/>
    <w:bookmarkEnd w:id="7"/>
    <w:p w14:paraId="053D7F26" w14:textId="77777777" w:rsidR="00545241" w:rsidRDefault="00545241" w:rsidP="00545241">
      <w:pPr>
        <w:pStyle w:val="ListParagraph"/>
        <w:ind w:left="360"/>
        <w:jc w:val="both"/>
        <w:rPr>
          <w:lang w:val="en-US"/>
        </w:rPr>
      </w:pPr>
    </w:p>
    <w:sectPr w:rsidR="00545241"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79070" w14:textId="77777777" w:rsidR="006B5CBE" w:rsidRDefault="006B5CBE">
      <w:r>
        <w:separator/>
      </w:r>
    </w:p>
  </w:endnote>
  <w:endnote w:type="continuationSeparator" w:id="0">
    <w:p w14:paraId="1A26BC9C" w14:textId="77777777" w:rsidR="006B5CBE" w:rsidRDefault="006B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5ECD4DC9"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E506C">
      <w:rPr>
        <w:rStyle w:val="PageNumber"/>
      </w:rPr>
      <w:t>3</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CAF0D" w14:textId="77777777" w:rsidR="006B5CBE" w:rsidRDefault="006B5CBE">
      <w:r>
        <w:separator/>
      </w:r>
    </w:p>
  </w:footnote>
  <w:footnote w:type="continuationSeparator" w:id="0">
    <w:p w14:paraId="739B2D52" w14:textId="77777777" w:rsidR="006B5CBE" w:rsidRDefault="006B5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3241"/>
    <w:multiLevelType w:val="hybridMultilevel"/>
    <w:tmpl w:val="31E8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123A"/>
    <w:multiLevelType w:val="hybridMultilevel"/>
    <w:tmpl w:val="FA285AE0"/>
    <w:lvl w:ilvl="0" w:tplc="95962D8A">
      <w:start w:val="1"/>
      <w:numFmt w:val="bullet"/>
      <w:lvlText w:val="•"/>
      <w:lvlJc w:val="left"/>
      <w:pPr>
        <w:tabs>
          <w:tab w:val="num" w:pos="720"/>
        </w:tabs>
        <w:ind w:left="720" w:hanging="360"/>
      </w:pPr>
      <w:rPr>
        <w:rFonts w:ascii="Arial" w:hAnsi="Arial" w:hint="default"/>
      </w:rPr>
    </w:lvl>
    <w:lvl w:ilvl="1" w:tplc="834C7782">
      <w:numFmt w:val="bullet"/>
      <w:lvlText w:val="•"/>
      <w:lvlJc w:val="left"/>
      <w:pPr>
        <w:tabs>
          <w:tab w:val="num" w:pos="1440"/>
        </w:tabs>
        <w:ind w:left="1440" w:hanging="360"/>
      </w:pPr>
      <w:rPr>
        <w:rFonts w:ascii="Arial" w:hAnsi="Arial" w:hint="default"/>
      </w:rPr>
    </w:lvl>
    <w:lvl w:ilvl="2" w:tplc="16145FCA">
      <w:numFmt w:val="bullet"/>
      <w:lvlText w:val="•"/>
      <w:lvlJc w:val="left"/>
      <w:pPr>
        <w:tabs>
          <w:tab w:val="num" w:pos="2160"/>
        </w:tabs>
        <w:ind w:left="2160" w:hanging="360"/>
      </w:pPr>
      <w:rPr>
        <w:rFonts w:ascii="Arial" w:hAnsi="Arial" w:hint="default"/>
      </w:rPr>
    </w:lvl>
    <w:lvl w:ilvl="3" w:tplc="431CF3CC" w:tentative="1">
      <w:start w:val="1"/>
      <w:numFmt w:val="bullet"/>
      <w:lvlText w:val="•"/>
      <w:lvlJc w:val="left"/>
      <w:pPr>
        <w:tabs>
          <w:tab w:val="num" w:pos="2880"/>
        </w:tabs>
        <w:ind w:left="2880" w:hanging="360"/>
      </w:pPr>
      <w:rPr>
        <w:rFonts w:ascii="Arial" w:hAnsi="Arial" w:hint="default"/>
      </w:rPr>
    </w:lvl>
    <w:lvl w:ilvl="4" w:tplc="5EDE06BC" w:tentative="1">
      <w:start w:val="1"/>
      <w:numFmt w:val="bullet"/>
      <w:lvlText w:val="•"/>
      <w:lvlJc w:val="left"/>
      <w:pPr>
        <w:tabs>
          <w:tab w:val="num" w:pos="3600"/>
        </w:tabs>
        <w:ind w:left="3600" w:hanging="360"/>
      </w:pPr>
      <w:rPr>
        <w:rFonts w:ascii="Arial" w:hAnsi="Arial" w:hint="default"/>
      </w:rPr>
    </w:lvl>
    <w:lvl w:ilvl="5" w:tplc="BC2C8C06" w:tentative="1">
      <w:start w:val="1"/>
      <w:numFmt w:val="bullet"/>
      <w:lvlText w:val="•"/>
      <w:lvlJc w:val="left"/>
      <w:pPr>
        <w:tabs>
          <w:tab w:val="num" w:pos="4320"/>
        </w:tabs>
        <w:ind w:left="4320" w:hanging="360"/>
      </w:pPr>
      <w:rPr>
        <w:rFonts w:ascii="Arial" w:hAnsi="Arial" w:hint="default"/>
      </w:rPr>
    </w:lvl>
    <w:lvl w:ilvl="6" w:tplc="3F16A6A2" w:tentative="1">
      <w:start w:val="1"/>
      <w:numFmt w:val="bullet"/>
      <w:lvlText w:val="•"/>
      <w:lvlJc w:val="left"/>
      <w:pPr>
        <w:tabs>
          <w:tab w:val="num" w:pos="5040"/>
        </w:tabs>
        <w:ind w:left="5040" w:hanging="360"/>
      </w:pPr>
      <w:rPr>
        <w:rFonts w:ascii="Arial" w:hAnsi="Arial" w:hint="default"/>
      </w:rPr>
    </w:lvl>
    <w:lvl w:ilvl="7" w:tplc="09B48D8A" w:tentative="1">
      <w:start w:val="1"/>
      <w:numFmt w:val="bullet"/>
      <w:lvlText w:val="•"/>
      <w:lvlJc w:val="left"/>
      <w:pPr>
        <w:tabs>
          <w:tab w:val="num" w:pos="5760"/>
        </w:tabs>
        <w:ind w:left="5760" w:hanging="360"/>
      </w:pPr>
      <w:rPr>
        <w:rFonts w:ascii="Arial" w:hAnsi="Arial" w:hint="default"/>
      </w:rPr>
    </w:lvl>
    <w:lvl w:ilvl="8" w:tplc="686A10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5558C7"/>
    <w:multiLevelType w:val="hybridMultilevel"/>
    <w:tmpl w:val="3768EFEE"/>
    <w:lvl w:ilvl="0" w:tplc="12964B88">
      <w:start w:val="1"/>
      <w:numFmt w:val="bullet"/>
      <w:lvlText w:val="•"/>
      <w:lvlJc w:val="left"/>
      <w:pPr>
        <w:tabs>
          <w:tab w:val="num" w:pos="720"/>
        </w:tabs>
        <w:ind w:left="720" w:hanging="360"/>
      </w:pPr>
      <w:rPr>
        <w:rFonts w:ascii="Arial" w:hAnsi="Arial" w:hint="default"/>
      </w:rPr>
    </w:lvl>
    <w:lvl w:ilvl="1" w:tplc="32A659E4" w:tentative="1">
      <w:start w:val="1"/>
      <w:numFmt w:val="bullet"/>
      <w:lvlText w:val="•"/>
      <w:lvlJc w:val="left"/>
      <w:pPr>
        <w:tabs>
          <w:tab w:val="num" w:pos="1440"/>
        </w:tabs>
        <w:ind w:left="1440" w:hanging="360"/>
      </w:pPr>
      <w:rPr>
        <w:rFonts w:ascii="Arial" w:hAnsi="Arial" w:hint="default"/>
      </w:rPr>
    </w:lvl>
    <w:lvl w:ilvl="2" w:tplc="04A0AF68" w:tentative="1">
      <w:start w:val="1"/>
      <w:numFmt w:val="bullet"/>
      <w:lvlText w:val="•"/>
      <w:lvlJc w:val="left"/>
      <w:pPr>
        <w:tabs>
          <w:tab w:val="num" w:pos="2160"/>
        </w:tabs>
        <w:ind w:left="2160" w:hanging="360"/>
      </w:pPr>
      <w:rPr>
        <w:rFonts w:ascii="Arial" w:hAnsi="Arial" w:hint="default"/>
      </w:rPr>
    </w:lvl>
    <w:lvl w:ilvl="3" w:tplc="D4AC6560" w:tentative="1">
      <w:start w:val="1"/>
      <w:numFmt w:val="bullet"/>
      <w:lvlText w:val="•"/>
      <w:lvlJc w:val="left"/>
      <w:pPr>
        <w:tabs>
          <w:tab w:val="num" w:pos="2880"/>
        </w:tabs>
        <w:ind w:left="2880" w:hanging="360"/>
      </w:pPr>
      <w:rPr>
        <w:rFonts w:ascii="Arial" w:hAnsi="Arial" w:hint="default"/>
      </w:rPr>
    </w:lvl>
    <w:lvl w:ilvl="4" w:tplc="6EB8262E" w:tentative="1">
      <w:start w:val="1"/>
      <w:numFmt w:val="bullet"/>
      <w:lvlText w:val="•"/>
      <w:lvlJc w:val="left"/>
      <w:pPr>
        <w:tabs>
          <w:tab w:val="num" w:pos="3600"/>
        </w:tabs>
        <w:ind w:left="3600" w:hanging="360"/>
      </w:pPr>
      <w:rPr>
        <w:rFonts w:ascii="Arial" w:hAnsi="Arial" w:hint="default"/>
      </w:rPr>
    </w:lvl>
    <w:lvl w:ilvl="5" w:tplc="1D547C4E" w:tentative="1">
      <w:start w:val="1"/>
      <w:numFmt w:val="bullet"/>
      <w:lvlText w:val="•"/>
      <w:lvlJc w:val="left"/>
      <w:pPr>
        <w:tabs>
          <w:tab w:val="num" w:pos="4320"/>
        </w:tabs>
        <w:ind w:left="4320" w:hanging="360"/>
      </w:pPr>
      <w:rPr>
        <w:rFonts w:ascii="Arial" w:hAnsi="Arial" w:hint="default"/>
      </w:rPr>
    </w:lvl>
    <w:lvl w:ilvl="6" w:tplc="46FA512E" w:tentative="1">
      <w:start w:val="1"/>
      <w:numFmt w:val="bullet"/>
      <w:lvlText w:val="•"/>
      <w:lvlJc w:val="left"/>
      <w:pPr>
        <w:tabs>
          <w:tab w:val="num" w:pos="5040"/>
        </w:tabs>
        <w:ind w:left="5040" w:hanging="360"/>
      </w:pPr>
      <w:rPr>
        <w:rFonts w:ascii="Arial" w:hAnsi="Arial" w:hint="default"/>
      </w:rPr>
    </w:lvl>
    <w:lvl w:ilvl="7" w:tplc="B9709A20" w:tentative="1">
      <w:start w:val="1"/>
      <w:numFmt w:val="bullet"/>
      <w:lvlText w:val="•"/>
      <w:lvlJc w:val="left"/>
      <w:pPr>
        <w:tabs>
          <w:tab w:val="num" w:pos="5760"/>
        </w:tabs>
        <w:ind w:left="5760" w:hanging="360"/>
      </w:pPr>
      <w:rPr>
        <w:rFonts w:ascii="Arial" w:hAnsi="Arial" w:hint="default"/>
      </w:rPr>
    </w:lvl>
    <w:lvl w:ilvl="8" w:tplc="30360F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0"/>
  </w:num>
  <w:num w:numId="3">
    <w:abstractNumId w:val="34"/>
  </w:num>
  <w:num w:numId="4">
    <w:abstractNumId w:val="38"/>
  </w:num>
  <w:num w:numId="5">
    <w:abstractNumId w:val="28"/>
  </w:num>
  <w:num w:numId="6">
    <w:abstractNumId w:val="16"/>
  </w:num>
  <w:num w:numId="7">
    <w:abstractNumId w:val="8"/>
  </w:num>
  <w:num w:numId="8">
    <w:abstractNumId w:val="32"/>
  </w:num>
  <w:num w:numId="9">
    <w:abstractNumId w:val="18"/>
  </w:num>
  <w:num w:numId="10">
    <w:abstractNumId w:val="25"/>
  </w:num>
  <w:num w:numId="11">
    <w:abstractNumId w:val="39"/>
  </w:num>
  <w:num w:numId="12">
    <w:abstractNumId w:val="7"/>
  </w:num>
  <w:num w:numId="13">
    <w:abstractNumId w:val="6"/>
  </w:num>
  <w:num w:numId="14">
    <w:abstractNumId w:val="20"/>
  </w:num>
  <w:num w:numId="15">
    <w:abstractNumId w:val="24"/>
  </w:num>
  <w:num w:numId="16">
    <w:abstractNumId w:val="13"/>
  </w:num>
  <w:num w:numId="17">
    <w:abstractNumId w:val="37"/>
  </w:num>
  <w:num w:numId="18">
    <w:abstractNumId w:val="17"/>
  </w:num>
  <w:num w:numId="19">
    <w:abstractNumId w:val="2"/>
  </w:num>
  <w:num w:numId="20">
    <w:abstractNumId w:val="12"/>
  </w:num>
  <w:num w:numId="21">
    <w:abstractNumId w:val="14"/>
  </w:num>
  <w:num w:numId="22">
    <w:abstractNumId w:val="3"/>
  </w:num>
  <w:num w:numId="23">
    <w:abstractNumId w:val="11"/>
  </w:num>
  <w:num w:numId="24">
    <w:abstractNumId w:val="15"/>
  </w:num>
  <w:num w:numId="25">
    <w:abstractNumId w:val="33"/>
  </w:num>
  <w:num w:numId="26">
    <w:abstractNumId w:val="19"/>
  </w:num>
  <w:num w:numId="27">
    <w:abstractNumId w:val="36"/>
  </w:num>
  <w:num w:numId="28">
    <w:abstractNumId w:val="29"/>
  </w:num>
  <w:num w:numId="29">
    <w:abstractNumId w:val="5"/>
  </w:num>
  <w:num w:numId="30">
    <w:abstractNumId w:val="27"/>
  </w:num>
  <w:num w:numId="31">
    <w:abstractNumId w:val="10"/>
  </w:num>
  <w:num w:numId="32">
    <w:abstractNumId w:val="26"/>
  </w:num>
  <w:num w:numId="33">
    <w:abstractNumId w:val="31"/>
  </w:num>
  <w:num w:numId="34">
    <w:abstractNumId w:val="9"/>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1"/>
  </w:num>
  <w:num w:numId="38">
    <w:abstractNumId w:val="35"/>
  </w:num>
  <w:num w:numId="39">
    <w:abstractNumId w:val="1"/>
  </w:num>
  <w:num w:numId="4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345A"/>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241"/>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177"/>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6076"/>
    <w:rsid w:val="00706CEE"/>
    <w:rsid w:val="007071CA"/>
    <w:rsid w:val="007075B1"/>
    <w:rsid w:val="00707981"/>
    <w:rsid w:val="00707A97"/>
    <w:rsid w:val="007108D8"/>
    <w:rsid w:val="00710949"/>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77EF8"/>
    <w:rsid w:val="00B806A3"/>
    <w:rsid w:val="00B80E6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4285251-15D1-4C49-99F3-7C876FA1E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243</TotalTime>
  <Pages>3</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7</cp:revision>
  <cp:lastPrinted>2017-11-17T17:51:00Z</cp:lastPrinted>
  <dcterms:created xsi:type="dcterms:W3CDTF">2017-11-17T17:50:00Z</dcterms:created>
  <dcterms:modified xsi:type="dcterms:W3CDTF">2017-11-17T22:25:00Z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